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9A0" w:rsidRDefault="008240BB">
      <w:pPr>
        <w:spacing w:after="0"/>
        <w:jc w:val="both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4219A0" w:rsidRDefault="008240BB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21" w:type="dxa"/>
          <w:left w:w="108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3229"/>
        <w:gridCol w:w="6380"/>
      </w:tblGrid>
      <w:tr w:rsidR="004219A0">
        <w:trPr>
          <w:trHeight w:val="46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9A0" w:rsidRDefault="008240BB">
            <w:pPr>
              <w:tabs>
                <w:tab w:val="center" w:pos="1583"/>
              </w:tabs>
              <w:spacing w:after="0"/>
            </w:pPr>
            <w:r>
              <w:t xml:space="preserve">Antrag </w:t>
            </w:r>
            <w:r>
              <w:tab/>
            </w:r>
            <w:r>
              <w:rPr>
                <w:b/>
              </w:rPr>
              <w:t xml:space="preserve">A 2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9A0" w:rsidRDefault="008240BB">
            <w:pPr>
              <w:tabs>
                <w:tab w:val="center" w:pos="2425"/>
              </w:tabs>
              <w:spacing w:after="0"/>
            </w:pPr>
            <w:r>
              <w:t xml:space="preserve">Antragsteller:  </w:t>
            </w:r>
            <w:r>
              <w:tab/>
            </w:r>
            <w:r>
              <w:rPr>
                <w:b/>
              </w:rPr>
              <w:t xml:space="preserve">KV Bodenseekreis </w:t>
            </w:r>
          </w:p>
        </w:tc>
      </w:tr>
      <w:tr w:rsidR="004219A0">
        <w:trPr>
          <w:trHeight w:val="463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9A0" w:rsidRDefault="008240BB">
            <w:pPr>
              <w:tabs>
                <w:tab w:val="center" w:pos="5409"/>
              </w:tabs>
              <w:spacing w:after="0"/>
            </w:pPr>
            <w:r>
              <w:t xml:space="preserve">Betreff:  </w:t>
            </w:r>
            <w:r>
              <w:tab/>
            </w:r>
            <w:r>
              <w:t xml:space="preserve">Lage der Musikhochschulen  </w:t>
            </w:r>
          </w:p>
        </w:tc>
      </w:tr>
      <w:tr w:rsidR="004219A0">
        <w:trPr>
          <w:trHeight w:val="1428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A0" w:rsidRDefault="008240BB">
            <w:pPr>
              <w:spacing w:after="0"/>
            </w:pPr>
            <w:r>
              <w:t xml:space="preserve"> </w:t>
            </w:r>
          </w:p>
          <w:p w:rsidR="004219A0" w:rsidRDefault="008240BB">
            <w:pPr>
              <w:spacing w:after="153"/>
            </w:pPr>
            <w:r>
              <w:rPr>
                <w:i/>
                <w:sz w:val="16"/>
              </w:rPr>
              <w:t xml:space="preserve">Der Bezirksparteitag möge beschließen: </w:t>
            </w:r>
          </w:p>
          <w:p w:rsidR="004219A0" w:rsidRDefault="008240BB">
            <w:pPr>
              <w:spacing w:after="0"/>
            </w:pPr>
            <w:r>
              <w:t>Die CDU Württemberg-Hohenzollern fordert die Landesregierung auf, die Musikhochschulen im</w:t>
            </w:r>
            <w:r>
              <w:t xml:space="preserve"> Land als Vollhochschulen zu erhalten.  </w:t>
            </w:r>
          </w:p>
        </w:tc>
      </w:tr>
      <w:tr w:rsidR="004219A0">
        <w:trPr>
          <w:trHeight w:val="5291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A0" w:rsidRDefault="008240BB">
            <w:pPr>
              <w:spacing w:after="119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  <w:t xml:space="preserve"> </w:t>
            </w:r>
          </w:p>
          <w:p w:rsidR="004219A0" w:rsidRDefault="008240BB">
            <w:pPr>
              <w:spacing w:after="1" w:line="230" w:lineRule="auto"/>
              <w:ind w:left="1428" w:hanging="1428"/>
            </w:pPr>
            <w:r>
              <w:t xml:space="preserve">Begründung: </w:t>
            </w:r>
            <w:r>
              <w:tab/>
            </w:r>
            <w:r>
              <w:t xml:space="preserve">Die Musikhochschulen leisten einen wichtigen Beitrag zur kulturellen Vielfalt vor allem auch in ländlichen Räumen. Unzählige Dirigenten von Chören, Blasmusikkapellen, Organisten </w:t>
            </w:r>
            <w:proofErr w:type="gramStart"/>
            <w:r>
              <w:t>in  Kirchen</w:t>
            </w:r>
            <w:proofErr w:type="gramEnd"/>
            <w:r>
              <w:t xml:space="preserve"> usw.  sind Studenten an Musikhochschulen.  </w:t>
            </w:r>
          </w:p>
          <w:p w:rsidR="004219A0" w:rsidRDefault="008240BB">
            <w:pPr>
              <w:spacing w:after="0"/>
              <w:ind w:left="1428"/>
            </w:pPr>
            <w:r>
              <w:t>Das Land Baden-Württem</w:t>
            </w:r>
            <w:r>
              <w:t xml:space="preserve">berg gibt überdurchschnittlich viel Geld für die </w:t>
            </w:r>
          </w:p>
          <w:p w:rsidR="004219A0" w:rsidRDefault="008240BB">
            <w:pPr>
              <w:spacing w:after="0"/>
              <w:ind w:left="1428"/>
            </w:pPr>
            <w:r>
              <w:t xml:space="preserve">Musikhochschulen aus. Der Landesrechnungshof hat deswegen Sparmaßnahmen </w:t>
            </w:r>
          </w:p>
          <w:p w:rsidR="004219A0" w:rsidRDefault="008240BB">
            <w:pPr>
              <w:spacing w:after="2" w:line="229" w:lineRule="auto"/>
              <w:ind w:left="1428"/>
            </w:pPr>
            <w:r>
              <w:t xml:space="preserve">gefordert. Er hat gleichzeitig einen Vorschlag unterbreitet, wie alle fünf Musikhochschulen erhalten bleiben können. </w:t>
            </w:r>
          </w:p>
          <w:p w:rsidR="004219A0" w:rsidRDefault="008240BB">
            <w:pPr>
              <w:spacing w:after="0" w:line="230" w:lineRule="auto"/>
              <w:ind w:left="1428"/>
            </w:pPr>
            <w:r>
              <w:t xml:space="preserve">Dagegen sieht das Konzept der baden-württembergischen Wissenschaftsministerin Bauer (Grüne) vor, die Hochschulen in Mannheim quasi zu „Rumpfhochschulen“ abzustufen, deren endgültiges Ende absehbar ist.  </w:t>
            </w:r>
          </w:p>
          <w:p w:rsidR="004219A0" w:rsidRDefault="008240BB">
            <w:pPr>
              <w:spacing w:after="1" w:line="230" w:lineRule="auto"/>
              <w:ind w:left="1428"/>
            </w:pPr>
            <w:r>
              <w:t>Davon ist vor allem die einzige im ländlichen Raum g</w:t>
            </w:r>
            <w:r>
              <w:t>elegene Hochschule, nämlich die in Trossingen, betroffen. Das berührt insbesondere auch den Bereich Württemberg-</w:t>
            </w:r>
            <w:r>
              <w:t>Hohenzollern (Regierungsbezirk Tübingen), in dem als einzigem Regierungsbezirk keine Musikhochschule angesiedelt ist. Deshalb kommen gerade im sü</w:t>
            </w:r>
            <w:r>
              <w:t xml:space="preserve">dlichen Teil des Bezirks viele Dirigenten von der Musikhochschule Trossingen, die außerdem als Musikhochschule der „Euregio Bodensee“ vielfältige Kooperationen am Bodensee und in Oberschwaben unterhält. </w:t>
            </w:r>
          </w:p>
          <w:p w:rsidR="004219A0" w:rsidRDefault="008240BB">
            <w:pPr>
              <w:spacing w:after="2" w:line="229" w:lineRule="auto"/>
              <w:ind w:left="1428"/>
            </w:pPr>
            <w:r>
              <w:t>Die beabsichtigte Zerschlagung der Musikhochschule T</w:t>
            </w:r>
            <w:r>
              <w:t xml:space="preserve">rossingen ist deshalb ein weiterer Schlag der grün-roten Landesregierung gegen den ländlichen Raum.  </w:t>
            </w:r>
          </w:p>
          <w:p w:rsidR="004219A0" w:rsidRDefault="008240BB">
            <w:pPr>
              <w:spacing w:after="0"/>
              <w:ind w:left="1428"/>
            </w:pPr>
            <w:r>
              <w:t xml:space="preserve"> </w:t>
            </w:r>
          </w:p>
        </w:tc>
      </w:tr>
    </w:tbl>
    <w:p w:rsidR="004219A0" w:rsidRDefault="008240BB">
      <w:pPr>
        <w:spacing w:after="0"/>
      </w:pPr>
      <w:r>
        <w:rPr>
          <w:sz w:val="24"/>
        </w:rPr>
        <w:t xml:space="preserve"> </w:t>
      </w:r>
    </w:p>
    <w:p w:rsidR="004219A0" w:rsidRDefault="008240BB">
      <w:pPr>
        <w:spacing w:after="0"/>
        <w:jc w:val="both"/>
      </w:pPr>
      <w:r>
        <w:rPr>
          <w:sz w:val="24"/>
        </w:rPr>
        <w:t xml:space="preserve"> </w:t>
      </w:r>
      <w:r>
        <w:rPr>
          <w:sz w:val="24"/>
        </w:rPr>
        <w:tab/>
      </w:r>
      <w:bookmarkStart w:id="0" w:name="_GoBack"/>
      <w:bookmarkEnd w:id="0"/>
    </w:p>
    <w:sectPr w:rsidR="004219A0">
      <w:pgSz w:w="11906" w:h="16838"/>
      <w:pgMar w:top="1445" w:right="7893" w:bottom="171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E5E39"/>
    <w:multiLevelType w:val="hybridMultilevel"/>
    <w:tmpl w:val="EB2CB18E"/>
    <w:lvl w:ilvl="0" w:tplc="1B3E688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3A0D84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F07840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5C877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3CB24A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29364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9A52B4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BCACC8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B421E0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0C6510"/>
    <w:multiLevelType w:val="hybridMultilevel"/>
    <w:tmpl w:val="E8FA47FC"/>
    <w:lvl w:ilvl="0" w:tplc="1E446E94">
      <w:start w:val="1"/>
      <w:numFmt w:val="bullet"/>
      <w:lvlText w:val="-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36271A">
      <w:start w:val="1"/>
      <w:numFmt w:val="bullet"/>
      <w:lvlText w:val="o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086D40">
      <w:start w:val="1"/>
      <w:numFmt w:val="bullet"/>
      <w:lvlText w:val="▪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366A0E">
      <w:start w:val="1"/>
      <w:numFmt w:val="bullet"/>
      <w:lvlText w:val="•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6AFDD0">
      <w:start w:val="1"/>
      <w:numFmt w:val="bullet"/>
      <w:lvlText w:val="o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768496">
      <w:start w:val="1"/>
      <w:numFmt w:val="bullet"/>
      <w:lvlText w:val="▪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0FE40">
      <w:start w:val="1"/>
      <w:numFmt w:val="bullet"/>
      <w:lvlText w:val="•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8E12FE">
      <w:start w:val="1"/>
      <w:numFmt w:val="bullet"/>
      <w:lvlText w:val="o"/>
      <w:lvlJc w:val="left"/>
      <w:pPr>
        <w:ind w:left="7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16C5C2">
      <w:start w:val="1"/>
      <w:numFmt w:val="bullet"/>
      <w:lvlText w:val="▪"/>
      <w:lvlJc w:val="left"/>
      <w:pPr>
        <w:ind w:left="8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A0"/>
    <w:rsid w:val="004219A0"/>
    <w:rsid w:val="0082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D33A"/>
  <w15:docId w15:val="{9BEF0D5E-D582-4376-8222-0A7A96CC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Schwaderer</dc:creator>
  <cp:keywords/>
  <cp:lastModifiedBy>Volker Mayer-Lay</cp:lastModifiedBy>
  <cp:revision>2</cp:revision>
  <dcterms:created xsi:type="dcterms:W3CDTF">2018-03-30T11:18:00Z</dcterms:created>
  <dcterms:modified xsi:type="dcterms:W3CDTF">2018-03-30T11:18:00Z</dcterms:modified>
</cp:coreProperties>
</file>